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322E57" w:rsidRDefault="00322E57" w:rsidP="009F0CDA">
      <w:pPr>
        <w:rPr>
          <w:b/>
          <w:color w:val="1F497D" w:themeColor="text2"/>
          <w:sz w:val="52"/>
          <w:szCs w:val="52"/>
        </w:rPr>
      </w:pPr>
    </w:p>
    <w:p w:rsidR="00EC7379" w:rsidRDefault="00EC7379" w:rsidP="00F45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8"/>
          <w:szCs w:val="28"/>
        </w:rPr>
      </w:pPr>
    </w:p>
    <w:p w:rsidR="00EC7379" w:rsidRDefault="00EC7379" w:rsidP="00EC7379">
      <w:pPr>
        <w:rPr>
          <w:rFonts w:ascii="Arial" w:hAnsi="Arial" w:cs="Arial"/>
          <w:sz w:val="28"/>
          <w:szCs w:val="28"/>
        </w:rPr>
      </w:pPr>
    </w:p>
    <w:p w:rsidR="00EC7379" w:rsidRPr="005571BF" w:rsidRDefault="00EC7379" w:rsidP="00EC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571BF">
        <w:rPr>
          <w:rFonts w:ascii="Arial" w:hAnsi="Arial" w:cs="Arial"/>
          <w:b/>
          <w:bCs/>
          <w:sz w:val="28"/>
          <w:szCs w:val="28"/>
        </w:rPr>
        <w:t>Вопрос:</w:t>
      </w:r>
      <w:r w:rsidRPr="005571BF">
        <w:rPr>
          <w:rFonts w:ascii="Arial" w:hAnsi="Arial" w:cs="Arial"/>
          <w:sz w:val="28"/>
          <w:szCs w:val="28"/>
        </w:rPr>
        <w:t xml:space="preserve"> О применении ставок земельного налога в отношении земельного участка, занятого зданием общежития и иными объектами, не относящимися к жилищному фонду и к объектам ЖКХ.</w:t>
      </w:r>
    </w:p>
    <w:p w:rsidR="00EC7379" w:rsidRPr="005571BF" w:rsidRDefault="00EC7379" w:rsidP="00EC73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8"/>
          <w:szCs w:val="28"/>
        </w:rPr>
      </w:pPr>
    </w:p>
    <w:p w:rsidR="00EC7379" w:rsidRPr="005571BF" w:rsidRDefault="00EC7379" w:rsidP="00EC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571BF">
        <w:rPr>
          <w:rFonts w:ascii="Arial" w:hAnsi="Arial" w:cs="Arial"/>
          <w:b/>
          <w:bCs/>
          <w:sz w:val="28"/>
          <w:szCs w:val="28"/>
        </w:rPr>
        <w:t>Ответ:</w:t>
      </w:r>
    </w:p>
    <w:p w:rsidR="00EC7379" w:rsidRPr="005571BF" w:rsidRDefault="00EC7379" w:rsidP="00EC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571BF">
        <w:rPr>
          <w:rFonts w:ascii="Arial" w:hAnsi="Arial" w:cs="Arial"/>
          <w:sz w:val="28"/>
          <w:szCs w:val="28"/>
        </w:rPr>
        <w:t>Федеральная налоговая служба рассмотрела обращение от 24.08.2021 по вопросу налогообложения земельного участка, занятого жилищным фондом (зданием общежития) и иными объектами, не относящимися к жилищному фонду и к объектам инженерной инфраструктуры жилищно-коммунального комплекса (далее - объекты ЖКХ), и сообщает.</w:t>
      </w:r>
    </w:p>
    <w:p w:rsidR="00EC7379" w:rsidRPr="005571BF" w:rsidRDefault="00EC7379" w:rsidP="00EC73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571BF">
        <w:rPr>
          <w:rFonts w:ascii="Arial" w:hAnsi="Arial" w:cs="Arial"/>
          <w:sz w:val="28"/>
          <w:szCs w:val="28"/>
        </w:rPr>
        <w:t xml:space="preserve">К полномочиям ФНС России, предусмотренным </w:t>
      </w:r>
      <w:hyperlink r:id="rId10" w:history="1">
        <w:r w:rsidRPr="005571BF">
          <w:rPr>
            <w:rFonts w:ascii="Arial" w:hAnsi="Arial" w:cs="Arial"/>
            <w:sz w:val="28"/>
            <w:szCs w:val="28"/>
          </w:rPr>
          <w:t>постановлением</w:t>
        </w:r>
      </w:hyperlink>
      <w:r w:rsidRPr="005571BF">
        <w:rPr>
          <w:rFonts w:ascii="Arial" w:hAnsi="Arial" w:cs="Arial"/>
          <w:sz w:val="28"/>
          <w:szCs w:val="28"/>
        </w:rPr>
        <w:t xml:space="preserve"> Правительства Российской Федерации от 30.09.2004 N 506 "Об утверждении Положения о Федеральной налоговой службе", не относится официальное (общеобязательное для всех участников налоговых правоотношений) разъяснение норм Налогового </w:t>
      </w:r>
      <w:hyperlink r:id="rId11" w:history="1">
        <w:r w:rsidRPr="005571BF">
          <w:rPr>
            <w:rFonts w:ascii="Arial" w:hAnsi="Arial" w:cs="Arial"/>
            <w:sz w:val="28"/>
            <w:szCs w:val="28"/>
          </w:rPr>
          <w:t>кодекса</w:t>
        </w:r>
      </w:hyperlink>
      <w:r w:rsidRPr="005571BF">
        <w:rPr>
          <w:rFonts w:ascii="Arial" w:hAnsi="Arial" w:cs="Arial"/>
          <w:sz w:val="28"/>
          <w:szCs w:val="28"/>
        </w:rPr>
        <w:t xml:space="preserve"> Российской Федерации (далее - Кодекс) об условиях исчисления земельного налога (далее - налог). Вместе с тем полагаем возможным направить следующие рекомендации.</w:t>
      </w:r>
    </w:p>
    <w:p w:rsidR="00EC7379" w:rsidRPr="005571BF" w:rsidRDefault="00EC7379" w:rsidP="00EC73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5571BF">
        <w:rPr>
          <w:rFonts w:ascii="Arial" w:hAnsi="Arial" w:cs="Arial"/>
          <w:sz w:val="28"/>
          <w:szCs w:val="28"/>
        </w:rPr>
        <w:t xml:space="preserve">Согласно </w:t>
      </w:r>
      <w:hyperlink r:id="rId12" w:history="1">
        <w:r w:rsidRPr="005571BF">
          <w:rPr>
            <w:rFonts w:ascii="Arial" w:hAnsi="Arial" w:cs="Arial"/>
            <w:sz w:val="28"/>
            <w:szCs w:val="28"/>
          </w:rPr>
          <w:t>абзацу третьему подпункта 1 пункта 1 статьи 394</w:t>
        </w:r>
      </w:hyperlink>
      <w:r w:rsidRPr="005571BF">
        <w:rPr>
          <w:rFonts w:ascii="Arial" w:hAnsi="Arial" w:cs="Arial"/>
          <w:sz w:val="28"/>
          <w:szCs w:val="28"/>
        </w:rPr>
        <w:t xml:space="preserve"> Кодекса налоговые ставки по налогу устанавливаются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и не могут превышать 0,3% в отношении земельных участков, занятых жилищным фондом и объектами ЖКХ (за исключением доли в праве на земельный участок, приходящейся на объект, не относящийся к жилищному</w:t>
      </w:r>
      <w:proofErr w:type="gramEnd"/>
      <w:r w:rsidRPr="005571BF">
        <w:rPr>
          <w:rFonts w:ascii="Arial" w:hAnsi="Arial" w:cs="Arial"/>
          <w:sz w:val="28"/>
          <w:szCs w:val="28"/>
        </w:rPr>
        <w:t xml:space="preserve"> фонду и к объектам ЖКХ).</w:t>
      </w:r>
    </w:p>
    <w:p w:rsidR="00EC7379" w:rsidRPr="005571BF" w:rsidRDefault="00EC7379" w:rsidP="00EC73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571BF">
        <w:rPr>
          <w:rFonts w:ascii="Arial" w:hAnsi="Arial" w:cs="Arial"/>
          <w:sz w:val="28"/>
          <w:szCs w:val="28"/>
        </w:rPr>
        <w:t xml:space="preserve">Исходя из </w:t>
      </w:r>
      <w:hyperlink r:id="rId13" w:history="1">
        <w:r w:rsidRPr="005571BF">
          <w:rPr>
            <w:rFonts w:ascii="Arial" w:hAnsi="Arial" w:cs="Arial"/>
            <w:sz w:val="28"/>
            <w:szCs w:val="28"/>
          </w:rPr>
          <w:t>подпункта 2 пункта 1 статьи 394</w:t>
        </w:r>
      </w:hyperlink>
      <w:r w:rsidRPr="005571BF">
        <w:rPr>
          <w:rFonts w:ascii="Arial" w:hAnsi="Arial" w:cs="Arial"/>
          <w:sz w:val="28"/>
          <w:szCs w:val="28"/>
        </w:rPr>
        <w:t xml:space="preserve"> Кодекса в отношении прочих, не указанных в </w:t>
      </w:r>
      <w:hyperlink r:id="rId14" w:history="1">
        <w:r w:rsidRPr="005571BF">
          <w:rPr>
            <w:rFonts w:ascii="Arial" w:hAnsi="Arial" w:cs="Arial"/>
            <w:sz w:val="28"/>
            <w:szCs w:val="28"/>
          </w:rPr>
          <w:t>подпункте 1 пункта 1 статьи 394</w:t>
        </w:r>
      </w:hyperlink>
      <w:r w:rsidRPr="005571BF">
        <w:rPr>
          <w:rFonts w:ascii="Arial" w:hAnsi="Arial" w:cs="Arial"/>
          <w:sz w:val="28"/>
          <w:szCs w:val="28"/>
        </w:rPr>
        <w:t xml:space="preserve"> Кодекса, земельных участков налоговая ставка не может превышать 1,5%.</w:t>
      </w:r>
    </w:p>
    <w:p w:rsidR="00EC7379" w:rsidRPr="005571BF" w:rsidRDefault="00EC7379" w:rsidP="00EC73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571BF">
        <w:rPr>
          <w:rFonts w:ascii="Arial" w:hAnsi="Arial" w:cs="Arial"/>
          <w:sz w:val="28"/>
          <w:szCs w:val="28"/>
        </w:rPr>
        <w:lastRenderedPageBreak/>
        <w:t xml:space="preserve">В соответствии с </w:t>
      </w:r>
      <w:hyperlink r:id="rId15" w:history="1">
        <w:r w:rsidRPr="005571BF">
          <w:rPr>
            <w:rFonts w:ascii="Arial" w:hAnsi="Arial" w:cs="Arial"/>
            <w:sz w:val="28"/>
            <w:szCs w:val="28"/>
          </w:rPr>
          <w:t>пунктом 1 статьи 34.2</w:t>
        </w:r>
      </w:hyperlink>
      <w:r w:rsidRPr="005571BF">
        <w:rPr>
          <w:rFonts w:ascii="Arial" w:hAnsi="Arial" w:cs="Arial"/>
          <w:sz w:val="28"/>
          <w:szCs w:val="28"/>
        </w:rPr>
        <w:t xml:space="preserve"> Кодекса Министерство финансов Российской Федерации дает письменные разъяснения по вопросам применения законодательства Российской Федерации о налогах и сборах. Налоговые органы обязаны руководствоваться такими разъяснениями Министерства финансов Российской Федерации (</w:t>
      </w:r>
      <w:hyperlink r:id="rId16" w:history="1">
        <w:r w:rsidRPr="005571BF">
          <w:rPr>
            <w:rFonts w:ascii="Arial" w:hAnsi="Arial" w:cs="Arial"/>
            <w:sz w:val="28"/>
            <w:szCs w:val="28"/>
          </w:rPr>
          <w:t>подпункт 5 пункта 1 статьи 32</w:t>
        </w:r>
      </w:hyperlink>
      <w:r w:rsidRPr="005571BF">
        <w:rPr>
          <w:rFonts w:ascii="Arial" w:hAnsi="Arial" w:cs="Arial"/>
          <w:sz w:val="28"/>
          <w:szCs w:val="28"/>
        </w:rPr>
        <w:t xml:space="preserve"> Кодекса).</w:t>
      </w:r>
    </w:p>
    <w:p w:rsidR="00EC7379" w:rsidRPr="005571BF" w:rsidRDefault="00EC7379" w:rsidP="00EC73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5571BF">
        <w:rPr>
          <w:rFonts w:ascii="Arial" w:hAnsi="Arial" w:cs="Arial"/>
          <w:sz w:val="28"/>
          <w:szCs w:val="28"/>
        </w:rPr>
        <w:t>В рамках указанных полномочий ФНС России направила (</w:t>
      </w:r>
      <w:hyperlink r:id="rId17" w:history="1">
        <w:r w:rsidRPr="005571BF">
          <w:rPr>
            <w:rFonts w:ascii="Arial" w:hAnsi="Arial" w:cs="Arial"/>
            <w:sz w:val="28"/>
            <w:szCs w:val="28"/>
          </w:rPr>
          <w:t>письмо</w:t>
        </w:r>
      </w:hyperlink>
      <w:r w:rsidRPr="005571BF">
        <w:rPr>
          <w:rFonts w:ascii="Arial" w:hAnsi="Arial" w:cs="Arial"/>
          <w:sz w:val="28"/>
          <w:szCs w:val="28"/>
        </w:rPr>
        <w:t xml:space="preserve"> от 04.08.2006 N ММ-6-21/764@) для руководства налоговым органам </w:t>
      </w:r>
      <w:hyperlink r:id="rId18" w:history="1">
        <w:r w:rsidRPr="005571BF">
          <w:rPr>
            <w:rFonts w:ascii="Arial" w:hAnsi="Arial" w:cs="Arial"/>
            <w:sz w:val="28"/>
            <w:szCs w:val="28"/>
          </w:rPr>
          <w:t>письмо</w:t>
        </w:r>
      </w:hyperlink>
      <w:r w:rsidRPr="005571BF">
        <w:rPr>
          <w:rFonts w:ascii="Arial" w:hAnsi="Arial" w:cs="Arial"/>
          <w:sz w:val="28"/>
          <w:szCs w:val="28"/>
        </w:rPr>
        <w:t xml:space="preserve"> Минфина России от 26.07.2006 N 02-03-09/2027, в котором разъяснено, что если на едином земельном участке наряду с другими объектами находятся объекты жилищного фонда (включая общежития) и объекты ЖКХ, то при исчислении налога в отношении рассматриваемого земельного участка к площади, занимаемой непосредственно</w:t>
      </w:r>
      <w:proofErr w:type="gramEnd"/>
      <w:r w:rsidRPr="005571BF">
        <w:rPr>
          <w:rFonts w:ascii="Arial" w:hAnsi="Arial" w:cs="Arial"/>
          <w:sz w:val="28"/>
          <w:szCs w:val="28"/>
        </w:rPr>
        <w:t xml:space="preserve"> объектами жилищного фонда и объектами ЖКХ, должна применяться налоговая ставка в размере не более 0,3%, а к остальной площади этого земельного участка должна применяться ставка, определенная для данной категории земельных участков.</w:t>
      </w:r>
    </w:p>
    <w:p w:rsidR="00EC7379" w:rsidRPr="005571BF" w:rsidRDefault="00EC7379" w:rsidP="00EC73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5571BF">
        <w:rPr>
          <w:rFonts w:ascii="Arial" w:hAnsi="Arial" w:cs="Arial"/>
          <w:sz w:val="28"/>
          <w:szCs w:val="28"/>
        </w:rPr>
        <w:t xml:space="preserve">В </w:t>
      </w:r>
      <w:hyperlink r:id="rId19" w:history="1">
        <w:r w:rsidRPr="005571BF">
          <w:rPr>
            <w:rFonts w:ascii="Arial" w:hAnsi="Arial" w:cs="Arial"/>
            <w:sz w:val="28"/>
            <w:szCs w:val="28"/>
          </w:rPr>
          <w:t>постановлении</w:t>
        </w:r>
      </w:hyperlink>
      <w:r w:rsidRPr="005571BF">
        <w:rPr>
          <w:rFonts w:ascii="Arial" w:hAnsi="Arial" w:cs="Arial"/>
          <w:sz w:val="28"/>
          <w:szCs w:val="28"/>
        </w:rPr>
        <w:t xml:space="preserve"> Президиума Высшего Арбитражного Суда Российской Федерации от 20.11.2012 N 7943/12 по делу N А33-5297/2011 подтверждается правомерность вывода о том, что при наличии доказательства нахождения на земельных участках объектов жилищного фонда и объектов ЖКХ налог исчисляется исходя из налоговой ставки, подлежащей применению к кадастровой стоимости земельного участка, рассчитываемой применительно к площади участков, занятой объектами жилищного фонда и</w:t>
      </w:r>
      <w:proofErr w:type="gramEnd"/>
      <w:r w:rsidRPr="005571BF">
        <w:rPr>
          <w:rFonts w:ascii="Arial" w:hAnsi="Arial" w:cs="Arial"/>
          <w:sz w:val="28"/>
          <w:szCs w:val="28"/>
        </w:rPr>
        <w:t xml:space="preserve"> объектами ЖКХ.</w:t>
      </w:r>
    </w:p>
    <w:p w:rsidR="00EC7379" w:rsidRPr="005571BF" w:rsidRDefault="00EC7379" w:rsidP="00EC73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5571BF">
        <w:rPr>
          <w:rFonts w:ascii="Arial" w:hAnsi="Arial" w:cs="Arial"/>
          <w:sz w:val="28"/>
          <w:szCs w:val="28"/>
        </w:rPr>
        <w:t xml:space="preserve">Итоговым по делу N А33-5297/2011 </w:t>
      </w:r>
      <w:hyperlink r:id="rId20" w:history="1">
        <w:r w:rsidRPr="005571BF">
          <w:rPr>
            <w:rFonts w:ascii="Arial" w:hAnsi="Arial" w:cs="Arial"/>
            <w:sz w:val="28"/>
            <w:szCs w:val="28"/>
          </w:rPr>
          <w:t>постановлением</w:t>
        </w:r>
      </w:hyperlink>
      <w:r w:rsidRPr="005571BF">
        <w:rPr>
          <w:rFonts w:ascii="Arial" w:hAnsi="Arial" w:cs="Arial"/>
          <w:sz w:val="28"/>
          <w:szCs w:val="28"/>
        </w:rPr>
        <w:t xml:space="preserve"> Третьего арбитражного апелляционного суда от 26.11.2013 определено, что применение налогоплательщиком налоговой ставки к кадастровой стоимости земельных участков, рассчитываемой применительно к площади участков, занятой объектами жилищного фонда (общежитиями) и объектами ЖКХ, соответствует </w:t>
      </w:r>
      <w:hyperlink r:id="rId21" w:history="1">
        <w:r w:rsidRPr="005571BF">
          <w:rPr>
            <w:rFonts w:ascii="Arial" w:hAnsi="Arial" w:cs="Arial"/>
            <w:sz w:val="28"/>
            <w:szCs w:val="28"/>
          </w:rPr>
          <w:t>пункту 1 статьи 390</w:t>
        </w:r>
      </w:hyperlink>
      <w:r w:rsidRPr="005571BF">
        <w:rPr>
          <w:rFonts w:ascii="Arial" w:hAnsi="Arial" w:cs="Arial"/>
          <w:sz w:val="28"/>
          <w:szCs w:val="28"/>
        </w:rPr>
        <w:t xml:space="preserve"> Кодекса, устанавливающему правило об определении налоговой базы в отношении каждого земельного участка, </w:t>
      </w:r>
      <w:hyperlink r:id="rId22" w:history="1">
        <w:r w:rsidRPr="005571BF">
          <w:rPr>
            <w:rFonts w:ascii="Arial" w:hAnsi="Arial" w:cs="Arial"/>
            <w:sz w:val="28"/>
            <w:szCs w:val="28"/>
          </w:rPr>
          <w:t>пункту 2 статьи 391</w:t>
        </w:r>
      </w:hyperlink>
      <w:r w:rsidRPr="005571BF">
        <w:rPr>
          <w:rFonts w:ascii="Arial" w:hAnsi="Arial" w:cs="Arial"/>
          <w:sz w:val="28"/>
          <w:szCs w:val="28"/>
        </w:rPr>
        <w:t xml:space="preserve"> Кодекса, согласно</w:t>
      </w:r>
      <w:proofErr w:type="gramEnd"/>
      <w:r w:rsidRPr="005571BF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5571BF">
        <w:rPr>
          <w:rFonts w:ascii="Arial" w:hAnsi="Arial" w:cs="Arial"/>
          <w:sz w:val="28"/>
          <w:szCs w:val="28"/>
        </w:rPr>
        <w:t>которому</w:t>
      </w:r>
      <w:proofErr w:type="gramEnd"/>
      <w:r w:rsidRPr="005571BF">
        <w:rPr>
          <w:rFonts w:ascii="Arial" w:hAnsi="Arial" w:cs="Arial"/>
          <w:sz w:val="28"/>
          <w:szCs w:val="28"/>
        </w:rPr>
        <w:t xml:space="preserve"> установление различных налоговых ставок является основанием для отдельного расчета налоговой базы, а также положениям, предусмотренным </w:t>
      </w:r>
      <w:hyperlink r:id="rId23" w:history="1">
        <w:r w:rsidRPr="005571BF">
          <w:rPr>
            <w:rFonts w:ascii="Arial" w:hAnsi="Arial" w:cs="Arial"/>
            <w:sz w:val="28"/>
            <w:szCs w:val="28"/>
          </w:rPr>
          <w:t>подпунктом 1 пункта 1 статьи 394</w:t>
        </w:r>
      </w:hyperlink>
      <w:r w:rsidRPr="005571BF">
        <w:rPr>
          <w:rFonts w:ascii="Arial" w:hAnsi="Arial" w:cs="Arial"/>
          <w:sz w:val="28"/>
          <w:szCs w:val="28"/>
        </w:rPr>
        <w:t xml:space="preserve"> Кодекса.</w:t>
      </w:r>
    </w:p>
    <w:p w:rsidR="00EC7379" w:rsidRPr="005571BF" w:rsidRDefault="00EC7379" w:rsidP="00EC73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571BF">
        <w:rPr>
          <w:rFonts w:ascii="Arial" w:hAnsi="Arial" w:cs="Arial"/>
          <w:sz w:val="28"/>
          <w:szCs w:val="28"/>
        </w:rPr>
        <w:t xml:space="preserve">Согласно </w:t>
      </w:r>
      <w:hyperlink r:id="rId24" w:history="1">
        <w:r w:rsidRPr="005571BF">
          <w:rPr>
            <w:rFonts w:ascii="Arial" w:hAnsi="Arial" w:cs="Arial"/>
            <w:sz w:val="28"/>
            <w:szCs w:val="28"/>
          </w:rPr>
          <w:t>пункту 3 статьи 391</w:t>
        </w:r>
      </w:hyperlink>
      <w:r w:rsidRPr="005571BF">
        <w:rPr>
          <w:rFonts w:ascii="Arial" w:hAnsi="Arial" w:cs="Arial"/>
          <w:sz w:val="28"/>
          <w:szCs w:val="28"/>
        </w:rPr>
        <w:t xml:space="preserve"> Кодекса налогоплательщики-организации определяют налоговую базу по налогу самостоятельно на основании сведений Единого государственного реестра недвижимости.</w:t>
      </w:r>
    </w:p>
    <w:p w:rsidR="00EC7379" w:rsidRPr="005571BF" w:rsidRDefault="00EC7379" w:rsidP="00EC73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571BF">
        <w:rPr>
          <w:rFonts w:ascii="Arial" w:hAnsi="Arial" w:cs="Arial"/>
          <w:sz w:val="28"/>
          <w:szCs w:val="28"/>
        </w:rPr>
        <w:t xml:space="preserve">Таким образом, для определения площадей частей земельного участка, занятых жилищным фондом, объектами ЖКХ и иными </w:t>
      </w:r>
      <w:r w:rsidRPr="005571BF">
        <w:rPr>
          <w:rFonts w:ascii="Arial" w:hAnsi="Arial" w:cs="Arial"/>
          <w:sz w:val="28"/>
          <w:szCs w:val="28"/>
        </w:rPr>
        <w:lastRenderedPageBreak/>
        <w:t>объектами, в целях применения при исчислении налога соответствующих налоговых ставок могут использоваться сведения Единого государственного реестра недвижимости о таких частях земельного участка.</w:t>
      </w:r>
    </w:p>
    <w:p w:rsidR="00EC7379" w:rsidRPr="005571BF" w:rsidRDefault="00EC7379" w:rsidP="00EC73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5571BF">
        <w:rPr>
          <w:rFonts w:ascii="Arial" w:hAnsi="Arial" w:cs="Arial"/>
          <w:sz w:val="28"/>
          <w:szCs w:val="28"/>
        </w:rPr>
        <w:t xml:space="preserve">В указанном </w:t>
      </w:r>
      <w:hyperlink r:id="rId25" w:history="1">
        <w:r w:rsidRPr="005571BF">
          <w:rPr>
            <w:rFonts w:ascii="Arial" w:hAnsi="Arial" w:cs="Arial"/>
            <w:sz w:val="28"/>
            <w:szCs w:val="28"/>
          </w:rPr>
          <w:t>письме</w:t>
        </w:r>
      </w:hyperlink>
      <w:r w:rsidRPr="005571BF">
        <w:rPr>
          <w:rFonts w:ascii="Arial" w:hAnsi="Arial" w:cs="Arial"/>
          <w:sz w:val="28"/>
          <w:szCs w:val="28"/>
        </w:rPr>
        <w:t xml:space="preserve"> Минфина России от 29.05.2017 N 03-05-05-02/32665 сообщается о том, что если на земельном участке, предоставленном организации на праве постоянного (бессрочного) пользования с видом разрешенного использования для размещения объектов образования располагается общежитие учебного заведения, предназначенное для временного проживания граждан в период их работы или обучения, то в отношении таких земельных участков при исчислении налога может применяться налоговая</w:t>
      </w:r>
      <w:proofErr w:type="gramEnd"/>
      <w:r w:rsidRPr="005571BF">
        <w:rPr>
          <w:rFonts w:ascii="Arial" w:hAnsi="Arial" w:cs="Arial"/>
          <w:sz w:val="28"/>
          <w:szCs w:val="28"/>
        </w:rPr>
        <w:t xml:space="preserve"> ставка в размере, не превышающем 0,3%.</w:t>
      </w:r>
    </w:p>
    <w:p w:rsidR="00EC7379" w:rsidRPr="005571BF" w:rsidRDefault="00EC7379" w:rsidP="00EC73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5571BF">
        <w:rPr>
          <w:rFonts w:ascii="Arial" w:hAnsi="Arial" w:cs="Arial"/>
          <w:sz w:val="28"/>
          <w:szCs w:val="28"/>
        </w:rPr>
        <w:t xml:space="preserve">Исходя из вышеперечисленных положений </w:t>
      </w:r>
      <w:hyperlink r:id="rId26" w:history="1">
        <w:r w:rsidRPr="005571BF">
          <w:rPr>
            <w:rFonts w:ascii="Arial" w:hAnsi="Arial" w:cs="Arial"/>
            <w:sz w:val="28"/>
            <w:szCs w:val="28"/>
          </w:rPr>
          <w:t>Кодекса</w:t>
        </w:r>
      </w:hyperlink>
      <w:r w:rsidRPr="005571BF">
        <w:rPr>
          <w:rFonts w:ascii="Arial" w:hAnsi="Arial" w:cs="Arial"/>
          <w:sz w:val="28"/>
          <w:szCs w:val="28"/>
        </w:rPr>
        <w:t xml:space="preserve"> и предыдущих разъяснений Минфина России, направленных в налоговые органы и имеющих актуальный характер, по мнению ФНС России, вывод, содержащийся в </w:t>
      </w:r>
      <w:hyperlink r:id="rId27" w:history="1">
        <w:r w:rsidRPr="005571BF">
          <w:rPr>
            <w:rFonts w:ascii="Arial" w:hAnsi="Arial" w:cs="Arial"/>
            <w:sz w:val="28"/>
            <w:szCs w:val="28"/>
          </w:rPr>
          <w:t>письме</w:t>
        </w:r>
      </w:hyperlink>
      <w:r w:rsidRPr="005571BF">
        <w:rPr>
          <w:rFonts w:ascii="Arial" w:hAnsi="Arial" w:cs="Arial"/>
          <w:sz w:val="28"/>
          <w:szCs w:val="28"/>
        </w:rPr>
        <w:t xml:space="preserve"> Минфина России от 29.05.2017 N 03-05-05-02/32665, с большей степенью вероятности может применяться в случае, если на земельном участке расположены только объекты жилищного фонда и (или) объекты ЖКХ.</w:t>
      </w:r>
      <w:proofErr w:type="gramEnd"/>
      <w:r w:rsidRPr="005571BF">
        <w:rPr>
          <w:rFonts w:ascii="Arial" w:hAnsi="Arial" w:cs="Arial"/>
          <w:sz w:val="28"/>
          <w:szCs w:val="28"/>
        </w:rPr>
        <w:t xml:space="preserve"> Вместе с тем указанное </w:t>
      </w:r>
      <w:hyperlink r:id="rId28" w:history="1">
        <w:r w:rsidRPr="005571BF">
          <w:rPr>
            <w:rFonts w:ascii="Arial" w:hAnsi="Arial" w:cs="Arial"/>
            <w:sz w:val="28"/>
            <w:szCs w:val="28"/>
          </w:rPr>
          <w:t>письмо</w:t>
        </w:r>
      </w:hyperlink>
      <w:r w:rsidRPr="005571BF">
        <w:rPr>
          <w:rFonts w:ascii="Arial" w:hAnsi="Arial" w:cs="Arial"/>
          <w:sz w:val="28"/>
          <w:szCs w:val="28"/>
        </w:rPr>
        <w:t xml:space="preserve"> Минфина России не доводилось для общеобязательного применения налоговых органов, не может рассматриваться и окончательно интерпретироваться без оценки конкретных обстоятельств, исходя из которых оно подготовлено.</w:t>
      </w:r>
    </w:p>
    <w:p w:rsidR="00EC7379" w:rsidRPr="005571BF" w:rsidRDefault="00EC7379" w:rsidP="00EC73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5571BF">
        <w:rPr>
          <w:rFonts w:ascii="Arial" w:hAnsi="Arial" w:cs="Arial"/>
          <w:sz w:val="28"/>
          <w:szCs w:val="28"/>
        </w:rPr>
        <w:t>Настоящее письмо носит сугубо информационно-справочный (</w:t>
      </w:r>
      <w:proofErr w:type="gramStart"/>
      <w:r w:rsidRPr="005571BF">
        <w:rPr>
          <w:rFonts w:ascii="Arial" w:hAnsi="Arial" w:cs="Arial"/>
          <w:sz w:val="28"/>
          <w:szCs w:val="28"/>
        </w:rPr>
        <w:t xml:space="preserve">рекомендательный) </w:t>
      </w:r>
      <w:proofErr w:type="gramEnd"/>
      <w:r w:rsidRPr="005571BF">
        <w:rPr>
          <w:rFonts w:ascii="Arial" w:hAnsi="Arial" w:cs="Arial"/>
          <w:sz w:val="28"/>
          <w:szCs w:val="28"/>
        </w:rPr>
        <w:t>характер, не устанавливает общеобязательных правовых норм и не препятствует применению нормативных правовых актов и судебных постановлений в значении, отличающемся от вышеизложенных разъяснений.</w:t>
      </w:r>
    </w:p>
    <w:p w:rsidR="00EC7379" w:rsidRPr="005571BF" w:rsidRDefault="00EC7379" w:rsidP="00EC73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45A72" w:rsidRPr="005571BF" w:rsidRDefault="00F45A72" w:rsidP="00EC7379">
      <w:pPr>
        <w:ind w:firstLine="708"/>
        <w:rPr>
          <w:rFonts w:ascii="Arial" w:hAnsi="Arial" w:cs="Arial"/>
          <w:sz w:val="28"/>
          <w:szCs w:val="28"/>
        </w:rPr>
      </w:pPr>
    </w:p>
    <w:p w:rsidR="00EC7379" w:rsidRPr="005571BF" w:rsidRDefault="005571BF" w:rsidP="005571BF">
      <w:pPr>
        <w:ind w:firstLine="708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</w:t>
      </w:r>
      <w:bookmarkStart w:id="0" w:name="_GoBack"/>
      <w:bookmarkEnd w:id="0"/>
      <w:r w:rsidR="00EC7379" w:rsidRPr="005571BF">
        <w:rPr>
          <w:rFonts w:ascii="Arial" w:hAnsi="Arial" w:cs="Arial"/>
          <w:b/>
          <w:sz w:val="28"/>
          <w:szCs w:val="28"/>
        </w:rPr>
        <w:t>Основание:</w:t>
      </w:r>
      <w:r w:rsidR="00EC7379" w:rsidRPr="005571BF">
        <w:rPr>
          <w:b/>
          <w:sz w:val="28"/>
          <w:szCs w:val="28"/>
        </w:rPr>
        <w:t xml:space="preserve"> </w:t>
      </w:r>
      <w:r w:rsidR="00EC7379" w:rsidRPr="005571BF">
        <w:rPr>
          <w:rFonts w:ascii="Arial" w:hAnsi="Arial" w:cs="Arial"/>
          <w:b/>
          <w:sz w:val="28"/>
          <w:szCs w:val="28"/>
        </w:rPr>
        <w:t>Письмо ФНС России от 27.08.2021 N БС-3-21/5912@</w:t>
      </w:r>
    </w:p>
    <w:sectPr w:rsidR="00EC7379" w:rsidRPr="005571BF" w:rsidSect="00156A6E">
      <w:footerReference w:type="default" r:id="rId2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F9" w:rsidRDefault="001660F9" w:rsidP="00830148">
      <w:pPr>
        <w:spacing w:after="0" w:line="240" w:lineRule="auto"/>
      </w:pPr>
      <w:r>
        <w:separator/>
      </w:r>
    </w:p>
  </w:endnote>
  <w:endnote w:type="continuationSeparator" w:id="0">
    <w:p w:rsidR="001660F9" w:rsidRDefault="001660F9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262E01ED" wp14:editId="4E0C9DDD">
          <wp:extent cx="5940425" cy="518795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F9" w:rsidRDefault="001660F9" w:rsidP="00830148">
      <w:pPr>
        <w:spacing w:after="0" w:line="240" w:lineRule="auto"/>
      </w:pPr>
      <w:r>
        <w:separator/>
      </w:r>
    </w:p>
  </w:footnote>
  <w:footnote w:type="continuationSeparator" w:id="0">
    <w:p w:rsidR="001660F9" w:rsidRDefault="001660F9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6"/>
  </w:num>
  <w:num w:numId="10">
    <w:abstractNumId w:val="18"/>
  </w:num>
  <w:num w:numId="11">
    <w:abstractNumId w:val="25"/>
  </w:num>
  <w:num w:numId="12">
    <w:abstractNumId w:val="5"/>
  </w:num>
  <w:num w:numId="13">
    <w:abstractNumId w:val="17"/>
  </w:num>
  <w:num w:numId="14">
    <w:abstractNumId w:val="0"/>
  </w:num>
  <w:num w:numId="15">
    <w:abstractNumId w:val="19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4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A3E58"/>
    <w:rsid w:val="000A5313"/>
    <w:rsid w:val="000F3AFD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87B"/>
    <w:rsid w:val="001A3E16"/>
    <w:rsid w:val="001B5E1C"/>
    <w:rsid w:val="00224D28"/>
    <w:rsid w:val="002354D3"/>
    <w:rsid w:val="00236A7D"/>
    <w:rsid w:val="00252A5E"/>
    <w:rsid w:val="002629D9"/>
    <w:rsid w:val="00263BC1"/>
    <w:rsid w:val="0027086A"/>
    <w:rsid w:val="00270FF0"/>
    <w:rsid w:val="002B57FF"/>
    <w:rsid w:val="002D3A55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C3E21"/>
    <w:rsid w:val="003D5C96"/>
    <w:rsid w:val="003E1ED7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4E0FF7"/>
    <w:rsid w:val="005060C9"/>
    <w:rsid w:val="00506CD4"/>
    <w:rsid w:val="005546C1"/>
    <w:rsid w:val="005571BF"/>
    <w:rsid w:val="0056795A"/>
    <w:rsid w:val="00572C8A"/>
    <w:rsid w:val="0058268A"/>
    <w:rsid w:val="00582A3F"/>
    <w:rsid w:val="005908A0"/>
    <w:rsid w:val="005951F1"/>
    <w:rsid w:val="00597936"/>
    <w:rsid w:val="005B6606"/>
    <w:rsid w:val="00627813"/>
    <w:rsid w:val="00630A1F"/>
    <w:rsid w:val="00636C52"/>
    <w:rsid w:val="0064341B"/>
    <w:rsid w:val="00644A62"/>
    <w:rsid w:val="00646FCA"/>
    <w:rsid w:val="00653B85"/>
    <w:rsid w:val="006555C8"/>
    <w:rsid w:val="00663C9D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316DA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6106"/>
    <w:rsid w:val="00B748DF"/>
    <w:rsid w:val="00B74F98"/>
    <w:rsid w:val="00B83C47"/>
    <w:rsid w:val="00B8630C"/>
    <w:rsid w:val="00BA01D7"/>
    <w:rsid w:val="00BD0CFB"/>
    <w:rsid w:val="00BD1C8E"/>
    <w:rsid w:val="00C11B32"/>
    <w:rsid w:val="00C131E4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B6B41"/>
    <w:rsid w:val="00DC33AA"/>
    <w:rsid w:val="00DC76E9"/>
    <w:rsid w:val="00DE29CF"/>
    <w:rsid w:val="00E00D01"/>
    <w:rsid w:val="00E03B98"/>
    <w:rsid w:val="00E11E2B"/>
    <w:rsid w:val="00E169B6"/>
    <w:rsid w:val="00E41F60"/>
    <w:rsid w:val="00E57900"/>
    <w:rsid w:val="00E87542"/>
    <w:rsid w:val="00E878DF"/>
    <w:rsid w:val="00EA0357"/>
    <w:rsid w:val="00EC674A"/>
    <w:rsid w:val="00EC7379"/>
    <w:rsid w:val="00ED4C02"/>
    <w:rsid w:val="00EF51A2"/>
    <w:rsid w:val="00F04E0E"/>
    <w:rsid w:val="00F13B4C"/>
    <w:rsid w:val="00F151F8"/>
    <w:rsid w:val="00F44FAA"/>
    <w:rsid w:val="00F45A72"/>
    <w:rsid w:val="00F46DEA"/>
    <w:rsid w:val="00F51DCA"/>
    <w:rsid w:val="00F548AF"/>
    <w:rsid w:val="00F56215"/>
    <w:rsid w:val="00F673F2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A72819D679B4BE42597BC045DFC47D23A5B970DF70B255F2A60CEB94A97B8B6DBFC9508B89622BC536478440392C5814C41051C9D80F9MFH" TargetMode="External"/><Relationship Id="rId18" Type="http://schemas.openxmlformats.org/officeDocument/2006/relationships/hyperlink" Target="consultantplus://offline/ref=7A72819D679B4BE42597BC045DFC47D23F519F0EFC0378552239C2BB4D98E7A1DCB59909BB9F25BE0C616D555B9FC298524812009F829CFAM4H" TargetMode="External"/><Relationship Id="rId26" Type="http://schemas.openxmlformats.org/officeDocument/2006/relationships/hyperlink" Target="consultantplus://offline/ref=7A72819D679B4BE42597BC045DFC47D23A5B970DF70B255F2A60CEB94A97B8B6DBFC9508B89B20BC536478440392C5814C41051C9D80F9MF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A72819D679B4BE42597BC045DFC47D23A5B970DF70B255F2A60CEB94A97B8B6DBFC9508B89926BC536478440392C5814C41051C9D80F9MF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A72819D679B4BE42597BC045DFC47D23A5B970DF70B255F2A60CEB94A97B8B6DBFC9508B39C2CB30C616D555B9FC298524812009F829CFAM4H" TargetMode="External"/><Relationship Id="rId17" Type="http://schemas.openxmlformats.org/officeDocument/2006/relationships/hyperlink" Target="consultantplus://offline/ref=7A72819D679B4BE42597BC045DFC47D23F519F0EFC0378552239C2BB4D98E7B3DCED9509BC8125BE19373C13F0MFH" TargetMode="External"/><Relationship Id="rId25" Type="http://schemas.openxmlformats.org/officeDocument/2006/relationships/hyperlink" Target="consultantplus://offline/ref=7A72819D679B4BE42597A1104F947DD4675E9F08FC0C280B7D629FEC4492B0E693ECC94DEE9225B01935350F0C92C0F9ME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A72819D679B4BE42597BC045DFC47D23A5B970CF40A255F2A60CEB94A97B8B6DBFC950BB29B2EE35671691C0E95DC9F4556191E9FF8M3H" TargetMode="External"/><Relationship Id="rId20" Type="http://schemas.openxmlformats.org/officeDocument/2006/relationships/hyperlink" Target="consultantplus://offline/ref=7A72819D679B4BE42597A2045A9419DF3A58C003F7082B0E753F95E41D9EB2E19CB3CC4AFF9224B70735391505C693DB19451B19838297BBFAA572F9M3H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A72819D679B4BE42597BC045DFC47D23A5B970DF70B255F2A60CEB94A97B8B6C9FCCD04BB983BB70E2B3E110CF9M3H" TargetMode="External"/><Relationship Id="rId24" Type="http://schemas.openxmlformats.org/officeDocument/2006/relationships/hyperlink" Target="consultantplus://offline/ref=7A72819D679B4BE42597BC045DFC47D23A5B970DF70B255F2A60CEB94A97B8B6DBFC9508B8962CB20C616D555B9FC298524812009F829CFAM4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A72819D679B4BE42597BC045DFC47D23A5B970CF40A255F2A60CEB94A97B8B6DBFC950AB39725BC536478440392C5814C41051C9D80F9MFH" TargetMode="External"/><Relationship Id="rId23" Type="http://schemas.openxmlformats.org/officeDocument/2006/relationships/hyperlink" Target="consultantplus://offline/ref=7A72819D679B4BE42597BC045DFC47D23A5B970DF70B255F2A60CEB94A97B8B6DBFC9508B89626BC536478440392C5814C41051C9D80F9MFH" TargetMode="External"/><Relationship Id="rId28" Type="http://schemas.openxmlformats.org/officeDocument/2006/relationships/hyperlink" Target="consultantplus://offline/ref=7A72819D679B4BE42597A1104F947DD4675E9F08FC0C280B7D629FEC4492B0E693ECC94DEE9225B01935350F0C92C0F9MEH" TargetMode="External"/><Relationship Id="rId10" Type="http://schemas.openxmlformats.org/officeDocument/2006/relationships/hyperlink" Target="consultantplus://offline/ref=7A72819D679B4BE42597BC045DFC47D23A5A9D0DFD01255F2A60CEB94A97B8B6DBFC9508BB9F25B4033E68404AC7CF9F4B561B1783809EA7FFM9H" TargetMode="External"/><Relationship Id="rId19" Type="http://schemas.openxmlformats.org/officeDocument/2006/relationships/hyperlink" Target="consultantplus://offline/ref=7A72819D679B4BE42597B11748FC47D23A52960EF50D255F2A60CEB94A97B8B6C9FCCD04BB983BB70E2B3E110CF9M3H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A72819D679B4BE42597BC045DFC47D23A5B970DF70B255F2A60CEB94A97B8B6DBFC9508B89626BC536478440392C5814C41051C9D80F9MFH" TargetMode="External"/><Relationship Id="rId22" Type="http://schemas.openxmlformats.org/officeDocument/2006/relationships/hyperlink" Target="consultantplus://offline/ref=7A72819D679B4BE42597BC045DFC47D23A5B970DF70B255F2A60CEB94A97B8B6DBFC9508B89922BC536478440392C5814C41051C9D80F9MFH" TargetMode="External"/><Relationship Id="rId27" Type="http://schemas.openxmlformats.org/officeDocument/2006/relationships/hyperlink" Target="consultantplus://offline/ref=7A72819D679B4BE42597A1104F947DD4675E9F08FC0C280B7D629FEC4492B0E693ECC94DEE9225B01935350F0C92C0F9MEH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AF554-2925-4046-ABA1-92625BEDA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Кирилюк Оксана Витальевна</cp:lastModifiedBy>
  <cp:revision>2</cp:revision>
  <cp:lastPrinted>2020-03-26T02:50:00Z</cp:lastPrinted>
  <dcterms:created xsi:type="dcterms:W3CDTF">2021-09-07T07:13:00Z</dcterms:created>
  <dcterms:modified xsi:type="dcterms:W3CDTF">2021-09-07T07:13:00Z</dcterms:modified>
</cp:coreProperties>
</file>